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D9" w:rsidRP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rPr>
          <w:rStyle w:val="Kiemels2"/>
          <w:color w:val="212121"/>
          <w:sz w:val="28"/>
          <w:szCs w:val="28"/>
        </w:rPr>
      </w:pPr>
      <w:r w:rsidRPr="00A570D9">
        <w:rPr>
          <w:rStyle w:val="Kiemels2"/>
          <w:color w:val="212121"/>
          <w:sz w:val="28"/>
          <w:szCs w:val="28"/>
        </w:rPr>
        <w:t>OFA Nonprofit Kft. pályázata:</w:t>
      </w:r>
    </w:p>
    <w:p w:rsidR="00A570D9" w:rsidRP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rPr>
          <w:b/>
          <w:bCs/>
          <w:color w:val="212121"/>
          <w:sz w:val="28"/>
          <w:szCs w:val="28"/>
        </w:rPr>
      </w:pPr>
      <w:r w:rsidRPr="00A570D9">
        <w:rPr>
          <w:rStyle w:val="Kiemels2"/>
          <w:color w:val="212121"/>
          <w:sz w:val="28"/>
          <w:szCs w:val="28"/>
        </w:rPr>
        <w:t>„Út a jövőbe” program</w:t>
      </w:r>
    </w:p>
    <w:p w:rsidR="00A570D9" w:rsidRP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rPr>
          <w:color w:val="212121"/>
        </w:rPr>
      </w:pPr>
      <w:r w:rsidRPr="00A570D9">
        <w:rPr>
          <w:rStyle w:val="Kiemels2"/>
          <w:color w:val="212121"/>
        </w:rPr>
        <w:t> </w:t>
      </w:r>
    </w:p>
    <w:p w:rsidR="00A570D9" w:rsidRP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jc w:val="both"/>
        <w:rPr>
          <w:color w:val="212121"/>
        </w:rPr>
      </w:pPr>
      <w:r w:rsidRPr="00A570D9">
        <w:rPr>
          <w:color w:val="212121"/>
        </w:rPr>
        <w:t xml:space="preserve">A program a kkv szektor versenyképességét és termelékenységét hivatott növelni, amivel a vállalkozások új technológia alkalmazása mellett a munkavállalóik képzettségi szintjét is növelik. A nyertes pályázóknak vállalniuk kell, hogy a meglévő munkavállalói létszámukat megtartják, három éven keresztül évi minimum 10 százalékos bérfejlesztést hajtanak végre és saját forrásból képzésben részesítik a dolgozóikat. </w:t>
      </w:r>
    </w:p>
    <w:p w:rsidR="00A570D9" w:rsidRP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jc w:val="both"/>
        <w:rPr>
          <w:color w:val="212121"/>
        </w:rPr>
      </w:pPr>
      <w:r w:rsidRPr="00A570D9">
        <w:rPr>
          <w:color w:val="212121"/>
        </w:rPr>
        <w:t xml:space="preserve">A támogatás új eszközök, gépek, technológiai rendszerek beszerzésére, az új technológia kialakításával kapcsolatos ingatlan beruházásra és immateriális javak – köztük szellemi termékek - költségeire fordítható. </w:t>
      </w:r>
    </w:p>
    <w:p w:rsid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jc w:val="both"/>
        <w:rPr>
          <w:color w:val="212121"/>
        </w:rPr>
      </w:pPr>
      <w:r w:rsidRPr="00A570D9">
        <w:rPr>
          <w:color w:val="212121"/>
        </w:rPr>
        <w:t xml:space="preserve">A támogatás az európai uniós versenyjogi értelemben vett állami támogatásokra vonatkozó szabályokkal összhangban – regionális beruházási támogatás jogcímen vagy csekély összegű (de </w:t>
      </w:r>
      <w:proofErr w:type="spellStart"/>
      <w:r w:rsidRPr="00A570D9">
        <w:rPr>
          <w:color w:val="212121"/>
        </w:rPr>
        <w:t>minimis</w:t>
      </w:r>
      <w:proofErr w:type="spellEnd"/>
      <w:r w:rsidRPr="00A570D9">
        <w:rPr>
          <w:color w:val="212121"/>
        </w:rPr>
        <w:t>) támogatásként – nyújtható. A regionális beruházási támogatási jogcímen igényelhető összeg 10-150 millió forint, hátrányos helyzetű térségben megvalósuló beruházás esetén maximum 200 millió forint</w:t>
      </w:r>
      <w:r w:rsidRPr="00A570D9">
        <w:rPr>
          <w:b/>
          <w:color w:val="212121"/>
        </w:rPr>
        <w:t xml:space="preserve">. </w:t>
      </w:r>
      <w:r w:rsidRPr="00A570D9">
        <w:rPr>
          <w:color w:val="212121"/>
        </w:rPr>
        <w:t>Nagymaros azonban nem szerepel a támogatható települések között.</w:t>
      </w:r>
      <w:r w:rsidRPr="00A570D9">
        <w:rPr>
          <w:color w:val="212121"/>
        </w:rPr>
        <w:t> </w:t>
      </w:r>
    </w:p>
    <w:p w:rsid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jc w:val="both"/>
        <w:rPr>
          <w:color w:val="212121"/>
        </w:rPr>
      </w:pPr>
      <w:r w:rsidRPr="00A570D9">
        <w:rPr>
          <w:b/>
          <w:color w:val="212121"/>
        </w:rPr>
        <w:t>A csekély összegű támogatási jogcímen megítélt támogatás támogatástartalma – a folyó pénzügyi évben, valamint az azt megelőző két pénzügyi év során – nem haladhatja meg a 200.000 eurónak, a közúti szállítási ágazatban a 100.000 eurónak megfelelő forintösszeget.</w:t>
      </w:r>
      <w:r w:rsidRPr="00A570D9">
        <w:rPr>
          <w:color w:val="212121"/>
        </w:rPr>
        <w:t xml:space="preserve"> </w:t>
      </w:r>
      <w:r w:rsidRPr="00A570D9">
        <w:rPr>
          <w:b/>
          <w:color w:val="212121"/>
        </w:rPr>
        <w:t>Ezt a támogatást azonban nagymarosi kkv-k is tudják igényelni.</w:t>
      </w:r>
      <w:r w:rsidRPr="00A570D9">
        <w:rPr>
          <w:color w:val="212121"/>
        </w:rPr>
        <w:t xml:space="preserve"> </w:t>
      </w:r>
    </w:p>
    <w:p w:rsidR="00A570D9" w:rsidRP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jc w:val="both"/>
        <w:rPr>
          <w:color w:val="212121"/>
        </w:rPr>
      </w:pPr>
      <w:r w:rsidRPr="00A570D9">
        <w:rPr>
          <w:color w:val="212121"/>
        </w:rPr>
        <w:t>A támogatás vissza nem térítendő, intenzitása pedig régiónként e</w:t>
      </w:r>
      <w:r>
        <w:rPr>
          <w:color w:val="212121"/>
        </w:rPr>
        <w:t xml:space="preserve">ltérő, de </w:t>
      </w:r>
      <w:proofErr w:type="spellStart"/>
      <w:r>
        <w:rPr>
          <w:color w:val="212121"/>
        </w:rPr>
        <w:t>max</w:t>
      </w:r>
      <w:proofErr w:type="spellEnd"/>
      <w:r>
        <w:rPr>
          <w:color w:val="212121"/>
        </w:rPr>
        <w:t xml:space="preserve">. 50 százalékos </w:t>
      </w:r>
      <w:r w:rsidRPr="00A570D9">
        <w:rPr>
          <w:color w:val="212121"/>
        </w:rPr>
        <w:t>lehet.</w:t>
      </w:r>
      <w:r w:rsidRPr="00A570D9">
        <w:rPr>
          <w:color w:val="212121"/>
        </w:rPr>
        <w:br/>
      </w:r>
    </w:p>
    <w:p w:rsidR="00A570D9" w:rsidRPr="00A570D9" w:rsidRDefault="00A570D9" w:rsidP="00A570D9">
      <w:pPr>
        <w:pStyle w:val="NormlWeb"/>
        <w:shd w:val="clear" w:color="auto" w:fill="FFFFFF"/>
        <w:spacing w:before="225" w:beforeAutospacing="0" w:after="225" w:afterAutospacing="0"/>
        <w:rPr>
          <w:b/>
          <w:bCs/>
          <w:color w:val="70A5C2"/>
          <w:u w:val="single"/>
        </w:rPr>
      </w:pPr>
      <w:r w:rsidRPr="00A570D9">
        <w:rPr>
          <w:color w:val="212121"/>
        </w:rPr>
        <w:br/>
      </w:r>
      <w:r w:rsidRPr="00A570D9">
        <w:rPr>
          <w:rStyle w:val="Kiemels2"/>
          <w:color w:val="212121"/>
        </w:rPr>
        <w:t>Az „Út a jövőbe” Program pályázati dokumentáció </w:t>
      </w:r>
      <w:r w:rsidRPr="00A570D9">
        <w:rPr>
          <w:color w:val="212121"/>
        </w:rPr>
        <w:fldChar w:fldCharType="begin"/>
      </w:r>
      <w:r w:rsidRPr="00A570D9">
        <w:rPr>
          <w:color w:val="212121"/>
        </w:rPr>
        <w:instrText xml:space="preserve"> HYPERLINK "http://ofa.hu/files/honlap/%C3%9At_a_j%C3%B6v%C5%91be.zip" </w:instrText>
      </w:r>
      <w:r w:rsidRPr="00A570D9">
        <w:rPr>
          <w:color w:val="212121"/>
        </w:rPr>
        <w:fldChar w:fldCharType="separate"/>
      </w:r>
      <w:r w:rsidRPr="00A570D9">
        <w:rPr>
          <w:rStyle w:val="Kiemels2"/>
          <w:color w:val="70A5C2"/>
          <w:u w:val="single"/>
        </w:rPr>
        <w:t>itt</w:t>
      </w:r>
      <w:r w:rsidRPr="00A570D9">
        <w:rPr>
          <w:color w:val="212121"/>
        </w:rPr>
        <w:fldChar w:fldCharType="end"/>
      </w:r>
      <w:r w:rsidRPr="00A570D9">
        <w:rPr>
          <w:rStyle w:val="Kiemels2"/>
          <w:color w:val="212121"/>
        </w:rPr>
        <w:t> </w:t>
      </w:r>
      <w:r w:rsidRPr="00A570D9">
        <w:rPr>
          <w:rStyle w:val="Kiemels2"/>
          <w:color w:val="212121"/>
        </w:rPr>
        <w:t>tölthető le.</w:t>
      </w:r>
      <w:r w:rsidRPr="00A570D9">
        <w:rPr>
          <w:b/>
          <w:bCs/>
          <w:color w:val="212121"/>
        </w:rPr>
        <w:br/>
      </w:r>
      <w:r w:rsidRPr="00A570D9">
        <w:rPr>
          <w:b/>
          <w:bCs/>
          <w:color w:val="212121"/>
        </w:rPr>
        <w:br/>
      </w:r>
      <w:r w:rsidRPr="00A570D9">
        <w:rPr>
          <w:rStyle w:val="Kiemels2"/>
          <w:color w:val="212121"/>
        </w:rPr>
        <w:t>A pályázat beadási határideje: 2020.február 29.</w:t>
      </w:r>
      <w:r w:rsidRPr="00A570D9">
        <w:rPr>
          <w:b/>
          <w:bCs/>
          <w:color w:val="212121"/>
        </w:rPr>
        <w:br/>
      </w:r>
      <w:r w:rsidRPr="00A570D9">
        <w:rPr>
          <w:b/>
          <w:bCs/>
          <w:color w:val="212121"/>
        </w:rPr>
        <w:br/>
      </w:r>
      <w:r w:rsidRPr="00A570D9">
        <w:rPr>
          <w:rStyle w:val="Kiemels2"/>
          <w:color w:val="212121"/>
        </w:rPr>
        <w:t>Az érdeklődők kérdéseiket az </w:t>
      </w:r>
      <w:hyperlink r:id="rId5" w:history="1">
        <w:r w:rsidRPr="00A570D9">
          <w:rPr>
            <w:rStyle w:val="Hiperhivatkozs"/>
            <w:b/>
            <w:bCs/>
            <w:color w:val="70A5C2"/>
          </w:rPr>
          <w:t>info@ofa.hu</w:t>
        </w:r>
      </w:hyperlink>
      <w:r w:rsidRPr="00A570D9">
        <w:rPr>
          <w:rStyle w:val="Kiemels2"/>
          <w:color w:val="212121"/>
        </w:rPr>
        <w:t> címen tehetik fel.</w:t>
      </w:r>
      <w:bookmarkStart w:id="0" w:name="_GoBack"/>
      <w:bookmarkEnd w:id="0"/>
    </w:p>
    <w:p w:rsidR="00607D25" w:rsidRDefault="00607D25"/>
    <w:sectPr w:rsidR="0060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D9"/>
    <w:rsid w:val="00607D25"/>
    <w:rsid w:val="00A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5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570D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57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5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570D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57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f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Dr.Szénásy Andrea</dc:creator>
  <cp:lastModifiedBy>Dr.Szénásy Andrea</cp:lastModifiedBy>
  <cp:revision>1</cp:revision>
  <dcterms:created xsi:type="dcterms:W3CDTF">2019-11-24T13:54:00Z</dcterms:created>
  <dcterms:modified xsi:type="dcterms:W3CDTF">2019-11-24T14:01:00Z</dcterms:modified>
</cp:coreProperties>
</file>